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emite bonos verdes por USD 384 millones en el mercado suizo para impulsar proyectos sostenibles en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primera emisión de bonos verdes en el mercado suizo logró una sobredemanda de los inversionistas que llevó a aumentar el monto de la colocación, ubicándola entre las más altas realizadas en dicho mercado en la historia de la institución para apoyar el financiamiento del desarrollo sostenible y la integración de América Latina.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11</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agosto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América Latina contará con nuevos recursos para llevar a cabo proyectos sostenibles con la primera emisión de bonos verdes realizada por CAF –banco de desarrollo de América Latina- en el mercado suizo por un monto de 350 millones de francos suizos (CHF), equivalentes a USD 384 millones, con un cupón de 0,70% y un plazo de 5 años.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“Estamos satisfechos por la confianza de los inversionistas que nos llevó a aumentar el monto de la emisión en nuestro regreso al mercado suizo en el que emitimos por primera vez bonos verdes. Esta es una buena noticia para América Latina porque nos permite financiar proyectos sostenibles para impulsar la reactivación económica y social de la región”, afirmó Luis Carranza Ugarte, presidente ejecutivo de CAF.</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Los administradores de fondos de pensiones, aseguradoras  y bancos comerciales sobresalieron entre los 47 inversionistas registrados en el libro de órdenes que demandaron los bonos verdes de CAF colocados por Credit Suisse y Zurcher Kantonalbank.</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lleva a cabo, desde hace más de dos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 y privado de los países accionistas.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0E">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0">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1.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